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i/>
          <w:iCs/>
          <w:sz w:val="20"/>
          <w:szCs w:val="20"/>
        </w:rPr>
        <w:t xml:space="preserve">	Vertraulich</w:t>
      </w:r>
    </w:p>
    <w:p>
      <w:pPr>
        <w:spacing w:after="60"/>
      </w:pPr>
      <w:r>
        <w:rPr>
          <w:b/>
          <w:bCs/>
          <w:sz w:val="32"/>
          <w:szCs w:val="32"/>
        </w:rPr>
        <w:t xml:space="preserve">Turnierbedingungen</w:t>
      </w:r>
    </w:p>
    <w:p>
      <w:pPr>
        <w:spacing w:after="240"/>
      </w:pPr>
      <w:r>
        <w:rPr>
          <w:i/>
          <w:iCs/>
          <w:sz w:val="24"/>
          <w:szCs w:val="24"/>
        </w:rPr>
        <w:t xml:space="preserve">Poker Kralı — Türkei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5750"/>
      </w:tblGrid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Turniername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Poker Kralı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Region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Türkei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Teilnahmeberechtigtes Spiel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Russisches Poker (Einzelspiel)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Dauer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6. Juli – 4. August 2026 (30 Tage)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Preispool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Bargeld-Preispool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Gesamtzahl der Gewinner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Mindest-Qualifikationseinsatz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0.10 pro Runde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Mindest-Qualifikationsquote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6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Maximale Rundenobergrenze</w:t>
            </w:r>
          </w:p>
        </w:tc>
        <w:tc>
          <w:tcPr>
            <w:tcW w:type="dxa" w:w="5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Insgesamt 5.400 Runden</w:t>
            </w:r>
          </w:p>
        </w:tc>
      </w:tr>
    </w:tbl>
    <w:p>
      <w:pPr>
        <w:spacing w:after="120" w:before="300"/>
      </w:pPr>
      <w:r>
        <w:rPr>
          <w:b/>
          <w:bCs/>
          <w:sz w:val="24"/>
          <w:szCs w:val="24"/>
        </w:rPr>
        <w:t xml:space="preserve">1. Übersicht der Aktion</w:t>
      </w:r>
    </w:p>
    <w:p>
      <w:pPr>
        <w:spacing w:after="120"/>
      </w:pPr>
      <w:r>
        <w:rPr>
          <w:sz w:val="21"/>
          <w:szCs w:val="21"/>
        </w:rPr>
        <w:t xml:space="preserve">Das „Poker Kralı" ist ein 30-tägiges Live-Casino-Turnier, das von CreedRoomz veranstaltet wird und vom 6. Juli 2026 bis zum 4. August 2026 läuft. Das Turnier steht allen teilnahmeberechtigten Spielern von Partnerbetreibern in der Region Türkei offen.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2. Teilnahme und Berechtigung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Alle Spieler teilnahmeberechtigter Partnerbetreiber werden nach Platzierung eines qualifizierenden Einsatzes automatisch in das Turnier aufgenommen.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Teilnahmeberechtigtes Spiel: Russisches Poker (Einzelspiel)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Mindest-Qualifikationseinsatz: 0.10 pro Runde.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Mindest-Qualifikationsquote: 1.3.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Maximale Rundenobergrenze: insgesamt 5.400 Runden pro Spieler über die gesamte Turnierdauer.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Spieler müssen mindestens einen Gewinn erzielen, um in der Bestenliste zu erscheinen.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Die Teilnahme setzt voraus, dass zwischen dem Betreiber des Spielers und CreedRoomz für den betreffenden Turnierzeitraum eine aktive Vereinbarung besteht.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3. Preispool und Verteilung</w:t>
      </w:r>
    </w:p>
    <w:p>
      <w:pPr>
        <w:spacing w:after="120"/>
      </w:pPr>
      <w:r>
        <w:rPr>
          <w:sz w:val="21"/>
          <w:szCs w:val="21"/>
        </w:rPr>
        <w:t xml:space="preserve">Nach Abschluss des Turniers am 4. August 2026 wird ein Bargeld-Preispool unter den 200 bestplatzierten Spielern verteilt. Die Preise werden auf Grundlage der finalen Platzierung in der Bestenliste vergeben.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4. Allgemeine Bedingungen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Diese Aktion ist verfügbarkeitsabhängig und kann nach Ermessen von CreedRoomz geändert oder abgesagt werden.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Preise sind nicht übertragbar und können nicht gegen andere Prämien oder einen Bargeldwert außerhalb des Standard-Auszahlungsprozesses eingetauscht werden.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behält sich das Recht vor, Spieler bei Betrug, Absprachen oder Verstößen gegen diese Bedingungen zu disqualifizieren oder deren Gewinne für ungültig zu erklären.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Die Verwendung automatisierter Software, Bots oder jeglicher Form von skriptgesteuertem Spiel ist strengstens untersagt und führt zur sofortigen Disqualifikation.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Bei Gleichstand in der Bestenliste wird der Spieler, der dieses Ergebnis zuerst erreicht hat (basierend auf dem Zeitstempel der qualifizierenden Runde), höher eingestuft.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Entscheidungen von CreedRoomz bezüglich Turnierrangliste, Preisberechtigung und Disqualifikation sind endgültig und bindend.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Die Aktion entspricht den geltenden regulatorischen Anforderungen der jeweiligen Rechtsordnung. Partnerbetreiber sind dafür verantwortlich, die Einhaltung lokaler Gesetze durch ihre Spieler sicherzustellen.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trägt die vollständigen Kosten des Preispools dieser Aktion.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5. Annahme der Bedingungen</w:t>
      </w:r>
    </w:p>
    <w:p>
      <w:pPr>
        <w:spacing w:after="120"/>
      </w:pPr>
      <w:r>
        <w:rPr>
          <w:sz w:val="21"/>
          <w:szCs w:val="21"/>
        </w:rPr>
        <w:t xml:space="preserve">Durch die Teilnahme an diesem Turnier bestätigen die Spieler, dass sie diese Bedingungen vollständig gelesen, verstanden und akzeptiert haben. Die fortgesetzte Teilnahme stellt eine vollständige Annahme dar.</w:t>
      </w:r>
    </w:p>
    <w:p>
      <w:pPr>
        <w:spacing w:before="300"/>
      </w:pPr>
      <w:r>
        <w:rPr>
          <w:i/>
          <w:iCs/>
          <w:color w:val="888888"/>
          <w:sz w:val="18"/>
          <w:szCs w:val="18"/>
        </w:rPr>
        <w:t xml:space="preserve">© CreedRoomz — Vertraulich. Nur zur Weitergabe an Partner.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2026-07-03T13:26:06.956Z</dcterms:created>
  <dcterms:modified xsi:type="dcterms:W3CDTF">2026-07-03T13:26:06.956Z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